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NormalTable"/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772"/>
      </w:tblGrid>
      <w:tr w:rsidR="00000000">
        <w:tc>
          <w:tcPr>
            <w:tcW w:w="10772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05AFF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/>
                <w:sz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/>
                <w:sz w:val="20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</w:rPr>
              <w:t>(в ред. от 16 ноября 2016 г.)</w:t>
            </w:r>
          </w:p>
        </w:tc>
      </w:tr>
    </w:tbl>
    <w:p w:rsidR="00000000" w:rsidRDefault="00105AF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vanish/>
          <w:sz w:val="24"/>
        </w:rPr>
        <w:t> </w:t>
      </w:r>
    </w:p>
    <w:tbl>
      <w:tblPr>
        <w:tblStyle w:val="NormalTable"/>
        <w:tblW w:w="9580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6746"/>
        <w:gridCol w:w="327"/>
        <w:gridCol w:w="1169"/>
        <w:gridCol w:w="1338"/>
      </w:tblGrid>
      <w:tr w:rsidR="00000000">
        <w:trPr>
          <w:trHeight w:val="27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ПОЯСНИТЕЛЬНАЯ ЗАПИСКА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</w:tr>
      <w:tr w:rsidR="00000000">
        <w:trPr>
          <w:trHeight w:val="25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КОДЫ</w:t>
            </w:r>
          </w:p>
        </w:tc>
      </w:tr>
      <w:tr w:rsidR="00000000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Форма по ОКУД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0503160</w:t>
            </w:r>
          </w:p>
        </w:tc>
      </w:tr>
      <w:tr w:rsidR="00000000">
        <w:trPr>
          <w:trHeight w:val="282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                          на   1 июля 2021 г.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 Дата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01.07.2021</w:t>
            </w:r>
          </w:p>
        </w:tc>
      </w:tr>
      <w:tr w:rsidR="00000000">
        <w:trPr>
          <w:trHeight w:val="30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Главный распорядитель, распорядитель,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</w:tr>
      <w:tr w:rsidR="00000000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по</w:t>
            </w:r>
            <w:r>
              <w:rPr>
                <w:rFonts w:ascii="Times New Roman" w:eastAsia="Times New Roman" w:hAnsi="Times New Roman"/>
                <w:sz w:val="18"/>
              </w:rPr>
              <w:t>лучатель бюджетных средств, главный администратор,   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0"/>
              </w:rPr>
            </w:pPr>
          </w:p>
        </w:tc>
      </w:tr>
      <w:tr w:rsidR="00000000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администратор доходов бюджета,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spacing w:line="195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spacing w:line="195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01939009</w:t>
            </w:r>
          </w:p>
        </w:tc>
      </w:tr>
      <w:tr w:rsidR="00000000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0"/>
              </w:rPr>
            </w:pPr>
          </w:p>
        </w:tc>
      </w:tr>
      <w:tr w:rsidR="00000000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администратор источников финансирования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0"/>
              </w:rPr>
            </w:pPr>
          </w:p>
        </w:tc>
      </w:tr>
      <w:tr w:rsidR="00000000"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>ГОСУДАРСТВЕННОЕ БЮДЖЕТНОЕ УЧРЕЖДЕНИЕ ЗДРАВООХ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>РАНЕНИЯ "ШЕМЫШЕЙСКАЯ УЧАСТКОВАЯ БОЛЬНИЦА"</w:t>
            </w:r>
            <w:r>
              <w:rPr>
                <w:rFonts w:ascii="Times New Roman" w:eastAsia="Times New Roman" w:hAnsi="Times New Roman"/>
                <w:sz w:val="18"/>
              </w:rPr>
              <w:t>         </w:t>
            </w:r>
          </w:p>
          <w:p w:rsidR="00000000" w:rsidRDefault="00105AF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Глава по БК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855</w:t>
            </w:r>
          </w:p>
        </w:tc>
      </w:tr>
      <w:tr w:rsidR="00000000">
        <w:trPr>
          <w:trHeight w:val="28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Наименование бюджета 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</w:tr>
      <w:tr w:rsidR="00000000">
        <w:trPr>
          <w:trHeight w:val="21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>Бюджет субъекта РФ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</w:p>
          <w:p w:rsidR="00000000" w:rsidRDefault="00105AFF">
            <w:pPr>
              <w:spacing w:line="21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   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spacing w:line="21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56659151</w:t>
            </w:r>
          </w:p>
        </w:tc>
      </w:tr>
      <w:tr w:rsidR="00000000">
        <w:trPr>
          <w:trHeight w:val="31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Периодичность:    месячная, квартальная, годовая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</w:tr>
      <w:tr w:rsidR="00000000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Единица измерения: руб.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    по</w:t>
            </w:r>
            <w:r>
              <w:rPr>
                <w:rFonts w:ascii="Times New Roman" w:eastAsia="Times New Roman" w:hAnsi="Times New Roman"/>
                <w:sz w:val="18"/>
              </w:rPr>
              <w:t xml:space="preserve">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383</w:t>
            </w:r>
          </w:p>
        </w:tc>
      </w:tr>
      <w:tr w:rsidR="00000000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</w:tr>
      <w:tr w:rsidR="00000000">
        <w:trPr>
          <w:trHeight w:val="282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</w:tr>
    </w:tbl>
    <w:p w:rsidR="00000000" w:rsidRDefault="00105AFF">
      <w:pPr>
        <w:ind w:firstLine="700"/>
        <w:jc w:val="center"/>
      </w:pPr>
      <w:r>
        <w:rPr>
          <w:color w:val="000000"/>
        </w:rPr>
        <w:t> </w:t>
      </w:r>
      <w:r>
        <w:rPr>
          <w:b/>
          <w:color w:val="000000"/>
          <w:sz w:val="28"/>
        </w:rPr>
        <w:t>Раздел 1 «Организационная структура субъекта бюджетной отчетности»</w:t>
      </w:r>
    </w:p>
    <w:p w:rsidR="00000000" w:rsidRDefault="00105AFF">
      <w:pPr>
        <w:ind w:firstLine="700"/>
        <w:jc w:val="center"/>
      </w:pPr>
      <w:r>
        <w:rPr>
          <w:b/>
          <w:color w:val="000000"/>
          <w:sz w:val="28"/>
        </w:rPr>
        <w:t> </w:t>
      </w:r>
    </w:p>
    <w:p w:rsidR="00000000" w:rsidRDefault="00105AFF">
      <w:pPr>
        <w:ind w:firstLine="700"/>
        <w:jc w:val="both"/>
      </w:pPr>
      <w:r>
        <w:rPr>
          <w:color w:val="000000"/>
          <w:sz w:val="26"/>
        </w:rPr>
        <w:t> </w:t>
      </w:r>
    </w:p>
    <w:tbl>
      <w:tblPr>
        <w:tblStyle w:val="NormalTable"/>
        <w:tblW w:w="10230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676"/>
        <w:gridCol w:w="1582"/>
        <w:gridCol w:w="6972"/>
      </w:tblGrid>
      <w:tr w:rsidR="00000000">
        <w:trPr>
          <w:trHeight w:val="681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16"/>
              </w:rPr>
              <w:t>Наименование вида выплат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16"/>
              </w:rPr>
              <w:t>Установленный размер выплаты</w:t>
            </w:r>
          </w:p>
        </w:tc>
        <w:tc>
          <w:tcPr>
            <w:tcW w:w="6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16"/>
              </w:rPr>
              <w:t>Нормативный правовой акт Правительства Пензенской области, установивший правила осуществления выплаты</w:t>
            </w:r>
          </w:p>
        </w:tc>
      </w:tr>
      <w:tr w:rsidR="00000000">
        <w:trPr>
          <w:trHeight w:val="255"/>
        </w:trPr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20"/>
              </w:rPr>
              <w:t>Ежемесячн</w:t>
            </w:r>
            <w:r>
              <w:rPr>
                <w:color w:val="000000"/>
                <w:sz w:val="20"/>
              </w:rPr>
              <w:t xml:space="preserve">ая денежная компенсация на возмещение расходов по оплате жилого помещения и </w:t>
            </w:r>
            <w:r>
              <w:rPr>
                <w:color w:val="000000"/>
                <w:sz w:val="20"/>
              </w:rPr>
              <w:lastRenderedPageBreak/>
              <w:t>коммунальных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ind w:left="-60" w:firstLine="60"/>
              <w:jc w:val="center"/>
            </w:pPr>
            <w:r>
              <w:rPr>
                <w:color w:val="000000"/>
                <w:sz w:val="16"/>
              </w:rPr>
              <w:lastRenderedPageBreak/>
              <w:t>300,00 рублей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both"/>
            </w:pPr>
            <w:r>
              <w:rPr>
                <w:color w:val="000000"/>
                <w:sz w:val="16"/>
              </w:rPr>
              <w:t>Постановление Правительства Пензенской обл. от 11.01.2011 N 3-пП "О Порядке осуществления и финансового обеспечения автономным, бюджетным учреждени</w:t>
            </w:r>
            <w:r>
              <w:rPr>
                <w:color w:val="000000"/>
                <w:sz w:val="16"/>
              </w:rPr>
              <w:t>ем Пензенской области полномочий исполнительного органа государственной власти Пензенской области по исполнению публичных обязательств перед физическим лицом, подлежащих исполнению в денежной форме, а также об утверждении перечня указанных публичных обязат</w:t>
            </w:r>
            <w:r>
              <w:rPr>
                <w:color w:val="000000"/>
                <w:sz w:val="16"/>
              </w:rPr>
              <w:t xml:space="preserve">ельств" </w:t>
            </w:r>
          </w:p>
        </w:tc>
      </w:tr>
      <w:tr w:rsidR="00000000">
        <w:trPr>
          <w:trHeight w:val="255"/>
        </w:trPr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000000" w:rsidRDefault="00105AFF">
      <w:pPr>
        <w:ind w:firstLine="700"/>
        <w:jc w:val="both"/>
      </w:pPr>
      <w:r>
        <w:rPr>
          <w:color w:val="000000"/>
          <w:sz w:val="28"/>
        </w:rPr>
        <w:t> </w:t>
      </w:r>
    </w:p>
    <w:p w:rsidR="00000000" w:rsidRDefault="00105AFF">
      <w:pPr>
        <w:ind w:firstLine="700"/>
        <w:jc w:val="center"/>
      </w:pPr>
      <w:r>
        <w:rPr>
          <w:b/>
          <w:color w:val="000000"/>
          <w:sz w:val="28"/>
        </w:rPr>
        <w:t>Раздел 2 «Результаты деятельности субъекта бюджетной отчетности»</w:t>
      </w:r>
    </w:p>
    <w:p w:rsidR="00000000" w:rsidRDefault="00105AFF">
      <w:pPr>
        <w:ind w:firstLine="700"/>
        <w:jc w:val="center"/>
      </w:pPr>
      <w:r>
        <w:rPr>
          <w:b/>
          <w:color w:val="000000"/>
          <w:sz w:val="28"/>
        </w:rPr>
        <w:t> </w:t>
      </w:r>
    </w:p>
    <w:p w:rsidR="00000000" w:rsidRDefault="00105AFF">
      <w:r>
        <w:rPr>
          <w:color w:val="000000"/>
          <w:sz w:val="26"/>
        </w:rPr>
        <w:t> </w:t>
      </w:r>
    </w:p>
    <w:tbl>
      <w:tblPr>
        <w:tblStyle w:val="NormalTable"/>
        <w:tblW w:w="10230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3114"/>
        <w:gridCol w:w="2575"/>
        <w:gridCol w:w="2129"/>
        <w:gridCol w:w="2412"/>
      </w:tblGrid>
      <w:tr w:rsidR="00000000">
        <w:trPr>
          <w:trHeight w:val="681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ind w:left="460"/>
              <w:jc w:val="center"/>
            </w:pPr>
            <w:r>
              <w:rPr>
                <w:color w:val="000000"/>
                <w:sz w:val="16"/>
              </w:rPr>
              <w:t>Наименование вида выплат</w:t>
            </w:r>
          </w:p>
        </w:tc>
        <w:tc>
          <w:tcPr>
            <w:tcW w:w="2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16"/>
              </w:rPr>
              <w:t>Месяц выплаты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16"/>
              </w:rPr>
              <w:t>Количество получателей выплат*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16"/>
              </w:rPr>
              <w:t>Общая сумма выплат</w:t>
            </w:r>
          </w:p>
        </w:tc>
      </w:tr>
      <w:tr w:rsidR="00000000">
        <w:trPr>
          <w:trHeight w:val="255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r>
              <w:rPr>
                <w:color w:val="000000"/>
                <w:sz w:val="20"/>
              </w:rPr>
              <w:t>Ежемесячная денежная компенсация на возмещение расходов по оплате жилого п</w:t>
            </w:r>
            <w:r>
              <w:rPr>
                <w:color w:val="000000"/>
                <w:sz w:val="20"/>
              </w:rPr>
              <w:t>омещения и коммунальных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16"/>
              </w:rPr>
              <w:t>январь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20"/>
              </w:rPr>
              <w:t>23400,00</w:t>
            </w:r>
          </w:p>
        </w:tc>
      </w:tr>
      <w:tr w:rsidR="00000000">
        <w:trPr>
          <w:trHeight w:val="255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05AFF">
            <w:r>
              <w:rPr>
                <w:color w:val="000000"/>
                <w:sz w:val="20"/>
              </w:rPr>
              <w:t>Ежемесячная денежная компенсация на возмещение расходов по оплате жилого помещения и коммунальных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16"/>
              </w:rPr>
              <w:t>февраль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20"/>
              </w:rPr>
              <w:t>23400,00</w:t>
            </w:r>
          </w:p>
        </w:tc>
      </w:tr>
      <w:tr w:rsidR="00000000">
        <w:trPr>
          <w:trHeight w:val="255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05AFF">
            <w:r>
              <w:rPr>
                <w:color w:val="000000"/>
                <w:sz w:val="20"/>
              </w:rPr>
              <w:t>Ежемесячная денежная компенсация на возмещение расходов по оплате жилого помещени</w:t>
            </w:r>
            <w:r>
              <w:rPr>
                <w:color w:val="000000"/>
                <w:sz w:val="20"/>
              </w:rPr>
              <w:t>я и коммунальных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16"/>
              </w:rPr>
              <w:t>март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20"/>
              </w:rPr>
              <w:t>23400,00</w:t>
            </w:r>
          </w:p>
        </w:tc>
      </w:tr>
      <w:tr w:rsidR="00000000">
        <w:trPr>
          <w:trHeight w:val="255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05AFF">
            <w:r>
              <w:rPr>
                <w:color w:val="000000"/>
                <w:sz w:val="20"/>
              </w:rPr>
              <w:t>Ежемесячная денежная компенсация на возмещение расходов по оплате жилого помещения и коммунальных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16"/>
              </w:rPr>
              <w:t>апрель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20"/>
              </w:rPr>
              <w:t>23100,00</w:t>
            </w:r>
          </w:p>
        </w:tc>
      </w:tr>
      <w:tr w:rsidR="00000000">
        <w:trPr>
          <w:trHeight w:val="255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05AFF">
            <w:r>
              <w:rPr>
                <w:color w:val="000000"/>
                <w:sz w:val="20"/>
              </w:rPr>
              <w:t>Ежемесячная денежная компенсация на возмещение расходов по оплате жилого помещения и коммун</w:t>
            </w:r>
            <w:r>
              <w:rPr>
                <w:color w:val="000000"/>
                <w:sz w:val="20"/>
              </w:rPr>
              <w:t>альных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16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20"/>
              </w:rPr>
              <w:t>23100,00</w:t>
            </w:r>
          </w:p>
        </w:tc>
      </w:tr>
      <w:tr w:rsidR="00000000">
        <w:trPr>
          <w:trHeight w:val="255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05AFF">
            <w:r>
              <w:rPr>
                <w:color w:val="000000"/>
                <w:sz w:val="20"/>
              </w:rPr>
              <w:t xml:space="preserve">Ежемесячная денежная компенсация на возмещение расходов по оплате жилого </w:t>
            </w:r>
            <w:r>
              <w:rPr>
                <w:color w:val="000000"/>
                <w:sz w:val="20"/>
              </w:rPr>
              <w:lastRenderedPageBreak/>
              <w:t>помещения и коммунальных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16"/>
              </w:rPr>
              <w:lastRenderedPageBreak/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20"/>
              </w:rPr>
              <w:t>23100,00</w:t>
            </w:r>
          </w:p>
        </w:tc>
      </w:tr>
      <w:tr w:rsidR="00000000">
        <w:trPr>
          <w:trHeight w:val="255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ИТОГО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20"/>
              </w:rPr>
              <w:t>139500,00</w:t>
            </w:r>
          </w:p>
        </w:tc>
      </w:tr>
    </w:tbl>
    <w:p w:rsidR="00000000" w:rsidRDefault="00105AFF">
      <w:pPr>
        <w:ind w:firstLine="700"/>
        <w:jc w:val="center"/>
      </w:pPr>
      <w:r>
        <w:rPr>
          <w:color w:val="000000"/>
          <w:sz w:val="20"/>
        </w:rPr>
        <w:t> </w:t>
      </w:r>
    </w:p>
    <w:p w:rsidR="00000000" w:rsidRDefault="00105AFF">
      <w:pPr>
        <w:ind w:firstLine="700"/>
        <w:jc w:val="center"/>
      </w:pPr>
      <w:r>
        <w:rPr>
          <w:color w:val="000000"/>
          <w:sz w:val="20"/>
        </w:rPr>
        <w:t> </w:t>
      </w:r>
    </w:p>
    <w:p w:rsidR="00000000" w:rsidRDefault="00105AFF">
      <w:pPr>
        <w:ind w:firstLine="700"/>
        <w:jc w:val="center"/>
      </w:pPr>
      <w:r>
        <w:rPr>
          <w:b/>
          <w:color w:val="000000"/>
          <w:sz w:val="28"/>
        </w:rPr>
        <w:t>Раздел 3 «Анализ отчета об исполнении бюджета субъектом бюджетной отчетности»</w:t>
      </w:r>
    </w:p>
    <w:p w:rsidR="00000000" w:rsidRDefault="00105AFF">
      <w:pPr>
        <w:jc w:val="both"/>
      </w:pPr>
      <w:r>
        <w:rPr>
          <w:rFonts w:ascii="Times New Roman" w:eastAsia="Times New Roman" w:hAnsi="Times New Roman"/>
          <w:color w:val="000000"/>
          <w:sz w:val="24"/>
        </w:rPr>
        <w:t> </w:t>
      </w:r>
    </w:p>
    <w:p w:rsidR="00000000" w:rsidRDefault="00105AFF">
      <w:pPr>
        <w:ind w:firstLine="700"/>
        <w:jc w:val="both"/>
      </w:pPr>
      <w:r>
        <w:rPr>
          <w:color w:val="000000"/>
          <w:sz w:val="26"/>
        </w:rPr>
        <w:t> </w:t>
      </w:r>
    </w:p>
    <w:tbl>
      <w:tblPr>
        <w:tblStyle w:val="NormalTable"/>
        <w:tblW w:w="10230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676"/>
        <w:gridCol w:w="1582"/>
        <w:gridCol w:w="6972"/>
      </w:tblGrid>
      <w:tr w:rsidR="00000000">
        <w:trPr>
          <w:trHeight w:val="681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16"/>
              </w:rPr>
              <w:t>Наименование вида выплат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16"/>
              </w:rPr>
              <w:t> Кассовое исполнение на отчетную дату в %</w:t>
            </w:r>
          </w:p>
        </w:tc>
        <w:tc>
          <w:tcPr>
            <w:tcW w:w="6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16"/>
              </w:rPr>
              <w:t>Пояснение (если кассовое исполнение ниже 20%)</w:t>
            </w:r>
          </w:p>
        </w:tc>
      </w:tr>
      <w:tr w:rsidR="00000000">
        <w:trPr>
          <w:trHeight w:val="255"/>
        </w:trPr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05AFF">
            <w:r>
              <w:rPr>
                <w:color w:val="000000"/>
                <w:sz w:val="20"/>
              </w:rPr>
              <w:t> Ежемесячная денежная компенсация на возмещение расходов по оплате жилого помещения и коммунальных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ind w:left="-60" w:firstLine="6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46,69%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both"/>
            </w:pPr>
            <w:r>
              <w:rPr>
                <w:color w:val="000000"/>
                <w:sz w:val="16"/>
              </w:rPr>
              <w:t> </w:t>
            </w:r>
          </w:p>
        </w:tc>
      </w:tr>
    </w:tbl>
    <w:p w:rsidR="00000000" w:rsidRDefault="00105AFF">
      <w:pPr>
        <w:ind w:firstLine="700"/>
        <w:jc w:val="both"/>
      </w:pPr>
      <w:r>
        <w:rPr>
          <w:color w:val="000000"/>
          <w:sz w:val="28"/>
        </w:rPr>
        <w:t> </w:t>
      </w:r>
    </w:p>
    <w:p w:rsidR="00000000" w:rsidRDefault="00105AFF">
      <w:pPr>
        <w:ind w:firstLine="700"/>
        <w:jc w:val="center"/>
      </w:pPr>
      <w:r>
        <w:rPr>
          <w:b/>
          <w:color w:val="000000"/>
          <w:sz w:val="28"/>
        </w:rPr>
        <w:t>Раздел 4 «Анализ пока</w:t>
      </w:r>
      <w:r>
        <w:rPr>
          <w:b/>
          <w:color w:val="000000"/>
          <w:sz w:val="28"/>
        </w:rPr>
        <w:t>зателей бухгалтерской отчетности субъекта бюджетной отчетности»</w:t>
      </w:r>
    </w:p>
    <w:p w:rsidR="00000000" w:rsidRDefault="00105AFF">
      <w:pPr>
        <w:ind w:firstLine="700"/>
        <w:jc w:val="center"/>
      </w:pPr>
      <w:r>
        <w:rPr>
          <w:b/>
          <w:color w:val="000000"/>
          <w:sz w:val="28"/>
        </w:rPr>
        <w:t> </w:t>
      </w:r>
    </w:p>
    <w:p w:rsidR="00000000" w:rsidRDefault="00105AFF">
      <w:pPr>
        <w:ind w:firstLine="700"/>
        <w:jc w:val="center"/>
      </w:pPr>
      <w:r>
        <w:rPr>
          <w:color w:val="000000"/>
          <w:sz w:val="28"/>
        </w:rPr>
        <w:t xml:space="preserve">Анализ </w:t>
      </w:r>
      <w:r>
        <w:rPr>
          <w:b/>
          <w:color w:val="000000"/>
          <w:sz w:val="28"/>
        </w:rPr>
        <w:t>дебиторской</w:t>
      </w:r>
      <w:r>
        <w:rPr>
          <w:color w:val="000000"/>
          <w:sz w:val="28"/>
        </w:rPr>
        <w:t xml:space="preserve"> задолженности </w:t>
      </w:r>
    </w:p>
    <w:tbl>
      <w:tblPr>
        <w:tblStyle w:val="NormalTable"/>
        <w:tblW w:w="10230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2130"/>
        <w:gridCol w:w="1798"/>
        <w:gridCol w:w="2067"/>
        <w:gridCol w:w="4235"/>
      </w:tblGrid>
      <w:tr w:rsidR="00000000">
        <w:trPr>
          <w:trHeight w:val="60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ind w:left="460"/>
              <w:jc w:val="center"/>
            </w:pPr>
            <w:r>
              <w:rPr>
                <w:color w:val="000000"/>
                <w:sz w:val="16"/>
              </w:rPr>
              <w:t>Наименование вида ПНО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b/>
                <w:color w:val="000000"/>
                <w:sz w:val="16"/>
              </w:rPr>
              <w:t>Подстатья КОСГУ, по которой осуществляются выплаты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16"/>
              </w:rPr>
              <w:t xml:space="preserve">Общая сумма </w:t>
            </w:r>
            <w:r>
              <w:rPr>
                <w:b/>
                <w:color w:val="000000"/>
                <w:sz w:val="16"/>
              </w:rPr>
              <w:t>дебиторской</w:t>
            </w:r>
            <w:r>
              <w:rPr>
                <w:color w:val="000000"/>
                <w:sz w:val="16"/>
              </w:rPr>
              <w:t xml:space="preserve"> задолженности на отчетную дату, руб.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16"/>
              </w:rPr>
              <w:t>Месяц образования, при</w:t>
            </w:r>
            <w:r>
              <w:rPr>
                <w:color w:val="000000"/>
                <w:sz w:val="16"/>
              </w:rPr>
              <w:t>чины непогашения, принимаемые меры</w:t>
            </w:r>
          </w:p>
        </w:tc>
      </w:tr>
      <w:tr w:rsidR="00000000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000000" w:rsidRDefault="00105AFF">
      <w:pPr>
        <w:ind w:firstLine="700"/>
        <w:jc w:val="both"/>
      </w:pPr>
      <w:r>
        <w:rPr>
          <w:color w:val="000000"/>
          <w:sz w:val="28"/>
        </w:rPr>
        <w:t> </w:t>
      </w:r>
    </w:p>
    <w:p w:rsidR="00000000" w:rsidRDefault="00105AFF">
      <w:pPr>
        <w:ind w:firstLine="700"/>
        <w:jc w:val="center"/>
      </w:pPr>
      <w:r>
        <w:rPr>
          <w:color w:val="000000"/>
          <w:sz w:val="28"/>
        </w:rPr>
        <w:t xml:space="preserve">Анализ </w:t>
      </w:r>
      <w:r>
        <w:rPr>
          <w:b/>
          <w:color w:val="000000"/>
          <w:sz w:val="28"/>
        </w:rPr>
        <w:t>кредиторской</w:t>
      </w:r>
      <w:r>
        <w:rPr>
          <w:color w:val="000000"/>
          <w:sz w:val="28"/>
        </w:rPr>
        <w:t xml:space="preserve"> задолженности </w:t>
      </w:r>
    </w:p>
    <w:tbl>
      <w:tblPr>
        <w:tblStyle w:val="NormalTable"/>
        <w:tblW w:w="10230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2130"/>
        <w:gridCol w:w="1798"/>
        <w:gridCol w:w="2067"/>
        <w:gridCol w:w="4235"/>
      </w:tblGrid>
      <w:tr w:rsidR="00000000">
        <w:trPr>
          <w:trHeight w:val="60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ind w:left="460"/>
              <w:jc w:val="center"/>
            </w:pPr>
            <w:r>
              <w:rPr>
                <w:color w:val="000000"/>
                <w:sz w:val="16"/>
              </w:rPr>
              <w:t>Наименование вида ПНО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b/>
                <w:color w:val="000000"/>
                <w:sz w:val="16"/>
              </w:rPr>
              <w:t>Подстатья КОСГУ, по которой осуществляются выплаты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16"/>
              </w:rPr>
              <w:t xml:space="preserve">Общая сумма </w:t>
            </w:r>
            <w:r>
              <w:rPr>
                <w:b/>
                <w:color w:val="000000"/>
                <w:sz w:val="16"/>
              </w:rPr>
              <w:t xml:space="preserve">кредиторской </w:t>
            </w:r>
            <w:r>
              <w:rPr>
                <w:color w:val="000000"/>
                <w:sz w:val="16"/>
              </w:rPr>
              <w:t>задолженности на отчетную дату, руб.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16"/>
              </w:rPr>
              <w:t>Месяц образования, причины непогашения,</w:t>
            </w:r>
            <w:r>
              <w:rPr>
                <w:color w:val="000000"/>
                <w:sz w:val="16"/>
              </w:rPr>
              <w:t xml:space="preserve"> принимаемые меры</w:t>
            </w:r>
          </w:p>
        </w:tc>
      </w:tr>
      <w:tr w:rsidR="00000000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000000" w:rsidRDefault="00105AFF">
      <w:pPr>
        <w:ind w:firstLine="700"/>
        <w:jc w:val="both"/>
      </w:pPr>
      <w:r>
        <w:rPr>
          <w:color w:val="000000"/>
          <w:sz w:val="28"/>
        </w:rPr>
        <w:t> </w:t>
      </w:r>
    </w:p>
    <w:p w:rsidR="00000000" w:rsidRDefault="00105AFF">
      <w:pPr>
        <w:ind w:firstLine="700"/>
        <w:jc w:val="both"/>
      </w:pPr>
      <w:r>
        <w:rPr>
          <w:rFonts w:ascii="Times New Roman" w:eastAsia="Times New Roman" w:hAnsi="Times New Roman"/>
          <w:color w:val="000000"/>
          <w:sz w:val="24"/>
        </w:rPr>
        <w:lastRenderedPageBreak/>
        <w:t> </w:t>
      </w:r>
    </w:p>
    <w:p w:rsidR="00000000" w:rsidRDefault="00105AFF">
      <w:pPr>
        <w:ind w:firstLine="700"/>
        <w:jc w:val="center"/>
      </w:pPr>
      <w:r>
        <w:rPr>
          <w:b/>
          <w:color w:val="000000"/>
          <w:sz w:val="28"/>
        </w:rPr>
        <w:t>Раздел 5 «Прочие вопросы деятельности субъекта бюджетной отчетности»</w:t>
      </w:r>
    </w:p>
    <w:p w:rsidR="00000000" w:rsidRDefault="00105AFF">
      <w:pPr>
        <w:ind w:firstLine="700"/>
        <w:jc w:val="center"/>
      </w:pPr>
      <w:r>
        <w:rPr>
          <w:b/>
          <w:color w:val="000000"/>
          <w:sz w:val="28"/>
        </w:rPr>
        <w:t> </w:t>
      </w:r>
    </w:p>
    <w:p w:rsidR="00000000" w:rsidRDefault="00105AFF">
      <w:pPr>
        <w:ind w:firstLine="700"/>
        <w:jc w:val="both"/>
      </w:pPr>
      <w:r>
        <w:rPr>
          <w:color w:val="000000"/>
          <w:sz w:val="26"/>
        </w:rPr>
        <w:t>В составе отчетности за 1 полугодие 2021 года не представлены следующие формы, ввиду отсутствия в них числовых показателей:</w:t>
      </w:r>
    </w:p>
    <w:p w:rsidR="00000000" w:rsidRDefault="00105AFF">
      <w:pPr>
        <w:ind w:firstLine="700"/>
        <w:jc w:val="both"/>
      </w:pPr>
      <w:r>
        <w:rPr>
          <w:rFonts w:ascii="Times New Roman" w:eastAsia="Times New Roman" w:hAnsi="Times New Roman"/>
          <w:color w:val="000000"/>
          <w:sz w:val="24"/>
        </w:rPr>
        <w:t> </w:t>
      </w:r>
    </w:p>
    <w:p w:rsidR="00000000" w:rsidRDefault="00105AFF">
      <w:pPr>
        <w:ind w:firstLine="700"/>
        <w:jc w:val="both"/>
      </w:pPr>
      <w:r>
        <w:rPr>
          <w:color w:val="000000"/>
          <w:sz w:val="26"/>
        </w:rPr>
        <w:t>-Сведения об исполнении суд</w:t>
      </w:r>
      <w:r>
        <w:rPr>
          <w:color w:val="000000"/>
          <w:sz w:val="26"/>
        </w:rPr>
        <w:t>ебных решений по денежным обязательствам бюджета (ф.0503296)</w:t>
      </w:r>
    </w:p>
    <w:p w:rsidR="00000000" w:rsidRDefault="00105AFF">
      <w:r>
        <w:rPr>
          <w:color w:val="000000"/>
        </w:rPr>
        <w:t>           </w:t>
      </w:r>
      <w:r>
        <w:rPr>
          <w:color w:val="000000"/>
          <w:sz w:val="26"/>
        </w:rPr>
        <w:t xml:space="preserve">  - Сведения по дебиторской и кредиторской задолженности (ф.0503169Дт)</w:t>
      </w:r>
    </w:p>
    <w:p w:rsidR="00000000" w:rsidRDefault="00105AFF"/>
    <w:tbl>
      <w:tblPr>
        <w:tblStyle w:val="NormalTable"/>
        <w:tblW w:w="10940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2730"/>
        <w:gridCol w:w="4732"/>
        <w:gridCol w:w="3478"/>
      </w:tblGrid>
      <w:tr w:rsidR="00000000">
        <w:tc>
          <w:tcPr>
            <w:tcW w:w="1094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/>
        </w:tc>
      </w:tr>
      <w:tr w:rsidR="00000000"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Руководитель</w:t>
            </w:r>
          </w:p>
        </w:tc>
        <w:tc>
          <w:tcPr>
            <w:tcW w:w="4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/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Попков Владимир Николаевич</w:t>
            </w:r>
          </w:p>
        </w:tc>
      </w:tr>
      <w:tr w:rsidR="00000000">
        <w:trPr>
          <w:trHeight w:val="280"/>
        </w:trPr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  <w:tc>
          <w:tcPr>
            <w:tcW w:w="4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000000">
        <w:trPr>
          <w:trHeight w:val="132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00000">
        <w:trPr>
          <w:trHeight w:val="281"/>
        </w:trPr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Руководитель планово-</w:t>
            </w:r>
          </w:p>
        </w:tc>
        <w:tc>
          <w:tcPr>
            <w:tcW w:w="4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rPr>
                <w:sz w:val="24"/>
              </w:rPr>
            </w:pPr>
          </w:p>
        </w:tc>
      </w:tr>
      <w:tr w:rsidR="00000000">
        <w:trPr>
          <w:trHeight w:val="281"/>
        </w:trPr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эконом</w:t>
            </w:r>
            <w:r>
              <w:rPr>
                <w:rFonts w:ascii="Times New Roman" w:eastAsia="Times New Roman" w:hAnsi="Times New Roman"/>
                <w:sz w:val="20"/>
              </w:rPr>
              <w:t>ической службы</w:t>
            </w:r>
          </w:p>
        </w:tc>
        <w:tc>
          <w:tcPr>
            <w:tcW w:w="4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000000">
        <w:trPr>
          <w:trHeight w:val="28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rPr>
                <w:sz w:val="24"/>
              </w:rPr>
            </w:pPr>
          </w:p>
        </w:tc>
      </w:tr>
      <w:tr w:rsidR="00000000">
        <w:trPr>
          <w:trHeight w:val="281"/>
        </w:trPr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</w:t>
            </w:r>
          </w:p>
          <w:p w:rsidR="00000000" w:rsidRDefault="00105AF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</w:t>
            </w:r>
          </w:p>
          <w:p w:rsidR="00000000" w:rsidRDefault="00105AF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Главный</w:t>
            </w:r>
          </w:p>
        </w:tc>
        <w:tc>
          <w:tcPr>
            <w:tcW w:w="4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105AF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Люкшина Галина Анатольевна</w:t>
            </w:r>
          </w:p>
        </w:tc>
      </w:tr>
      <w:tr w:rsidR="00000000">
        <w:trPr>
          <w:trHeight w:val="281"/>
        </w:trPr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бухгалтер</w:t>
            </w:r>
          </w:p>
        </w:tc>
        <w:tc>
          <w:tcPr>
            <w:tcW w:w="4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5AF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</w:tbl>
    <w:p w:rsidR="00000000" w:rsidRDefault="00105AF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0"/>
        </w:rPr>
        <w:t> </w:t>
      </w:r>
    </w:p>
    <w:p w:rsidR="00000000" w:rsidRDefault="00105AF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0"/>
        </w:rPr>
        <w:t>"____"   ____________ 20____г.</w:t>
      </w:r>
    </w:p>
    <w:p w:rsidR="00105AFF" w:rsidRDefault="00105AFF">
      <w:r>
        <w:rPr>
          <w:rFonts w:ascii="Times New Roman" w:eastAsia="Times New Roman" w:hAnsi="Times New Roman"/>
          <w:sz w:val="24"/>
        </w:rPr>
        <w:t xml:space="preserve">Документ подписан электронной подписью. </w:t>
      </w:r>
      <w:r>
        <w:rPr>
          <w:rFonts w:ascii="Times New Roman" w:eastAsia="Times New Roman" w:hAnsi="Times New Roman"/>
          <w:sz w:val="24"/>
        </w:rPr>
        <w:br/>
        <w:t>Главный бухгалтер(Люкшина Галина Анатольевна),Ру</w:t>
      </w:r>
      <w:r>
        <w:rPr>
          <w:rFonts w:ascii="Times New Roman" w:eastAsia="Times New Roman" w:hAnsi="Times New Roman"/>
          <w:sz w:val="24"/>
        </w:rPr>
        <w:t xml:space="preserve">ководитель(Попков Владимир Николаевич),Руководитель финансово-экономической службы(Каржаева Ольга Викторовна)        </w:t>
      </w:r>
    </w:p>
    <w:sectPr w:rsidR="00105AFF">
      <w:pgSz w:w="15840" w:h="12240" w:orient="landscape"/>
      <w:pgMar w:top="1133" w:right="850" w:bottom="1133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djustLineHeightInTable/>
  </w:compat>
  <w:rsids>
    <w:rsidRoot w:val="000A043E"/>
    <w:rsid w:val="000A043E"/>
    <w:rsid w:val="0010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black" strokecolor="black" shadowcolor="black" extrusioncolor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</w:pBdr>
    </w:pPr>
    <w:rPr>
      <w:sz w:val="22"/>
    </w:rPr>
  </w:style>
  <w:style w:type="character" w:default="1" w:styleId="a0">
    <w:name w:val="Default Paragraph Font"/>
    <w:rPr>
      <w:sz w:val="22"/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next w:val="a"/>
  </w:style>
  <w:style w:type="character" w:customStyle="1" w:styleId="LineNumber">
    <w:name w:val="Line Number"/>
    <w:basedOn w:val="a0"/>
  </w:style>
  <w:style w:type="character" w:customStyle="1" w:styleId="Hyperlink">
    <w:name w:val="Hyperlink"/>
    <w:rPr>
      <w:color w:val="0000FF"/>
      <w:u w:val="single"/>
    </w:rPr>
  </w:style>
  <w:style w:type="table" w:customStyle="1" w:styleId="NormalTable">
    <w:name w:val="Normal Table"/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">
    <w:name w:val="Table Simple 1"/>
    <w:basedOn w:val="NormalTab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2021-07-30T13:17:00Z</dcterms:created>
  <dcterms:modified xsi:type="dcterms:W3CDTF">2021-07-30T13:17:00Z</dcterms:modified>
</cp:coreProperties>
</file>